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1">
      <w:pPr>
        <w:ind w:left="0" w:firstLine="0"/>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Giese Elementary School</w:t>
      </w:r>
    </w:p>
    <w:p w:rsidR="00000000" w:rsidDel="00000000" w:rsidP="00000000" w:rsidRDefault="00000000" w:rsidRPr="00000000" w14:paraId="00000002">
      <w:pPr>
        <w:jc w:val="center"/>
        <w:rPr>
          <w:rFonts w:ascii="Tahoma" w:cs="Tahoma" w:eastAsia="Tahoma" w:hAnsi="Tahoma"/>
          <w:b w:val="1"/>
          <w:sz w:val="36"/>
          <w:szCs w:val="36"/>
        </w:rPr>
      </w:pPr>
      <w:bookmarkStart w:colFirst="0" w:colLast="0" w:name="_gjdgxs" w:id="0"/>
      <w:bookmarkEnd w:id="0"/>
      <w:r w:rsidDel="00000000" w:rsidR="00000000" w:rsidRPr="00000000">
        <w:rPr>
          <w:rFonts w:ascii="Tahoma" w:cs="Tahoma" w:eastAsia="Tahoma" w:hAnsi="Tahoma"/>
          <w:b w:val="1"/>
          <w:sz w:val="36"/>
          <w:szCs w:val="36"/>
          <w:rtl w:val="0"/>
        </w:rPr>
        <w:t xml:space="preserve">Family Engagement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Giese Elementary School believes in providing a nurturing climate of high expectations that will foster the academic growth of all of our students.  As part of building and maintaining that climate, we believe that positive parental engagement is essential to our students’ achievement.  We believe in developing and implementing programs that support and encourage parent participation in all aspects of their child’s education.  We work to ensure that all parents of our students are given the same opportunity for involvement.</w:t>
      </w:r>
    </w:p>
    <w:p w:rsidR="00000000" w:rsidDel="00000000" w:rsidP="00000000" w:rsidRDefault="00000000" w:rsidRPr="00000000" w14:paraId="00000006">
      <w:pPr>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We believe that building a strong connection between home and school is a priority and that the connection must be two-way and meaningful.  We encourage our families to communicate often, to visit the school regularly, to participate in parent programming and to share in decision-making opportunities.  We value the parents and families of our students and consider them our strongest partners and allies in helping our students to achieve.</w:t>
      </w:r>
    </w:p>
    <w:p w:rsidR="00000000" w:rsidDel="00000000" w:rsidP="00000000" w:rsidRDefault="00000000" w:rsidRPr="00000000" w14:paraId="00000008">
      <w:pPr>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9">
      <w:pPr>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We encourage parental engagement in our PTA and our Title I Parent Advisory Council.  Our district offers translators when needed for meetings and phone calls.  We work to collaborate many of our Title I activities with PTA, Young Leaders Academy (YLA), and community agencies and neighborhood churches.</w:t>
      </w:r>
    </w:p>
    <w:p w:rsidR="00000000" w:rsidDel="00000000" w:rsidP="00000000" w:rsidRDefault="00000000" w:rsidRPr="00000000" w14:paraId="0000000A">
      <w:pPr>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B">
      <w:pPr>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Title I parents are always welcome to visit and observe their child working with the Title I teacher. We also reserve a time for parents to learn about different assessments that students have during the year.  Individual tests are discussed at Parent Conferences and school data is discussed at a parent night.</w:t>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t xml:space="preserve">Rev. 12/18</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9050" distT="19050" distL="19050" distR="19050">
          <wp:extent cx="1414463" cy="499222"/>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14463" cy="49922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28575</wp:posOffset>
          </wp:positionV>
          <wp:extent cx="1385888" cy="685800"/>
          <wp:effectExtent b="0" l="0" r="0" t="0"/>
          <wp:wrapNone/>
          <wp:docPr descr="http://4.bp.blogspot.com/-GPYT-Z2nuLw/TZ8k6cKfcjI/AAAAAAAAAJ8/woJBOP_Jz5o/s1600/41778-running-cheetah-illustration+2.jpeg" id="2" name="image2.jpg"/>
          <a:graphic>
            <a:graphicData uri="http://schemas.openxmlformats.org/drawingml/2006/picture">
              <pic:pic>
                <pic:nvPicPr>
                  <pic:cNvPr descr="http://4.bp.blogspot.com/-GPYT-Z2nuLw/TZ8k6cKfcjI/AAAAAAAAAJ8/woJBOP_Jz5o/s1600/41778-running-cheetah-illustration+2.jpeg" id="0" name="image2.jpg"/>
                  <pic:cNvPicPr preferRelativeResize="0"/>
                </pic:nvPicPr>
                <pic:blipFill>
                  <a:blip r:embed="rId2"/>
                  <a:srcRect b="0" l="0" r="0" t="0"/>
                  <a:stretch>
                    <a:fillRect/>
                  </a:stretch>
                </pic:blipFill>
                <pic:spPr>
                  <a:xfrm>
                    <a:off x="0" y="0"/>
                    <a:ext cx="1385888"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